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0C4" w14:textId="51DA4EAC" w:rsidR="006B2477" w:rsidRPr="0072727C" w:rsidRDefault="006B2477" w:rsidP="0072727C">
      <w:pPr>
        <w:pStyle w:val="Titre2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 w:themeColor="text1"/>
        </w:rPr>
      </w:pPr>
      <w:r w:rsidRPr="0072727C">
        <w:rPr>
          <w:rFonts w:ascii="Helvetica" w:hAnsi="Helvetica" w:cs="Helvetica"/>
          <w:color w:val="000000" w:themeColor="text1"/>
        </w:rPr>
        <w:t>Procédure de plainte</w:t>
      </w:r>
      <w:r w:rsidR="007B5830" w:rsidRPr="0072727C">
        <w:rPr>
          <w:rFonts w:ascii="Helvetica" w:hAnsi="Helvetica" w:cs="Helvetica"/>
          <w:color w:val="000000" w:themeColor="text1"/>
        </w:rPr>
        <w:t xml:space="preserve"> dans le cadre du Règlement (UE) 2021/1060 du 24 juin 2021 (Fonds social européen</w:t>
      </w:r>
      <w:r w:rsidR="00A63446" w:rsidRPr="0072727C">
        <w:rPr>
          <w:rFonts w:ascii="Helvetica" w:hAnsi="Helvetica" w:cs="Helvetica"/>
          <w:color w:val="000000" w:themeColor="text1"/>
        </w:rPr>
        <w:t xml:space="preserve"> – FSE+</w:t>
      </w:r>
      <w:r w:rsidR="007B5830" w:rsidRPr="0072727C">
        <w:rPr>
          <w:rFonts w:ascii="Helvetica" w:hAnsi="Helvetica" w:cs="Helvetica"/>
          <w:color w:val="000000" w:themeColor="text1"/>
        </w:rPr>
        <w:t>)</w:t>
      </w:r>
    </w:p>
    <w:p w14:paraId="1E67DEAB" w14:textId="40CAD965" w:rsidR="003A7680" w:rsidRPr="0072727C" w:rsidRDefault="003A7680" w:rsidP="00F97C99">
      <w:pPr>
        <w:pBdr>
          <w:bottom w:val="single" w:sz="6" w:space="1" w:color="auto"/>
        </w:pBdr>
        <w:shd w:val="clear" w:color="auto" w:fill="FFFFFF"/>
        <w:spacing w:after="144"/>
        <w:jc w:val="both"/>
        <w:outlineLvl w:val="1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</w:pPr>
      <w:r w:rsidRPr="0072727C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Contexte</w:t>
      </w:r>
    </w:p>
    <w:p w14:paraId="2AE67AB5" w14:textId="57439C64" w:rsidR="006B2477" w:rsidRPr="0072727C" w:rsidRDefault="006B2477" w:rsidP="00F3455F">
      <w:pPr>
        <w:shd w:val="clear" w:color="auto" w:fill="FFFFFF"/>
        <w:spacing w:after="144" w:line="240" w:lineRule="auto"/>
        <w:jc w:val="both"/>
        <w:outlineLvl w:val="1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Pour la période de programmation 2021-2027</w:t>
      </w:r>
      <w:r w:rsidR="0001309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,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les </w:t>
      </w:r>
      <w:r w:rsidR="0001309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E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tat</w:t>
      </w:r>
      <w:r w:rsidR="00A6344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s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membres ont reçu de nouvelles tâches liées au respect de la Charte des droits fondamentaux (</w:t>
      </w:r>
      <w:r w:rsidR="00CC007A" w:rsidRPr="0072727C">
        <w:rPr>
          <w:rFonts w:ascii="Helvetica" w:hAnsi="Helvetica" w:cs="Helvetica"/>
          <w:color w:val="000000" w:themeColor="text1"/>
          <w:sz w:val="20"/>
          <w:szCs w:val="20"/>
        </w:rPr>
        <w:t>ci-après dénommée</w:t>
      </w:r>
      <w:r w:rsidR="00CC007A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E345A0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‘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la Charte</w:t>
      </w:r>
      <w:r w:rsidR="00E345A0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’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) et la Convention des Nations unies relative aux droits des personnes handicapées (</w:t>
      </w:r>
      <w:r w:rsidR="00CC007A" w:rsidRPr="0072727C">
        <w:rPr>
          <w:rFonts w:ascii="Helvetica" w:hAnsi="Helvetica" w:cs="Helvetica"/>
          <w:color w:val="000000" w:themeColor="text1"/>
          <w:sz w:val="20"/>
          <w:szCs w:val="20"/>
        </w:rPr>
        <w:t xml:space="preserve">ci-après dénommée </w:t>
      </w:r>
      <w:r w:rsidR="00E345A0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‘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CNUDPH</w:t>
      </w:r>
      <w:r w:rsidR="00E345A0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’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)</w:t>
      </w:r>
      <w:r w:rsidR="0001309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en vue de :</w:t>
      </w:r>
    </w:p>
    <w:p w14:paraId="2639A999" w14:textId="70DBEDBA" w:rsidR="006B2477" w:rsidRPr="0039227C" w:rsidRDefault="0039227C" w:rsidP="0039227C">
      <w:pPr>
        <w:pStyle w:val="Paragraphedeliste"/>
        <w:numPr>
          <w:ilvl w:val="0"/>
          <w:numId w:val="15"/>
        </w:numPr>
        <w:shd w:val="clear" w:color="auto" w:fill="FFFFFF"/>
        <w:spacing w:after="309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</w:t>
      </w:r>
      <w:r w:rsidR="006B2477" w:rsidRPr="0039227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eiller à </w:t>
      </w:r>
      <w:r w:rsidR="00E345A0" w:rsidRPr="0039227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l’a</w:t>
      </w:r>
      <w:r w:rsidR="00E345A0" w:rsidRPr="0039227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pplication et </w:t>
      </w:r>
      <w:r w:rsidR="00013096" w:rsidRPr="0039227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la </w:t>
      </w:r>
      <w:r w:rsidR="00E345A0" w:rsidRPr="0039227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mise en œuvre effectives de </w:t>
      </w:r>
      <w:hyperlink r:id="rId8" w:history="1">
        <w:r w:rsidR="00E345A0" w:rsidRPr="0039227C">
          <w:rPr>
            <w:rStyle w:val="Lienhypertexte"/>
            <w:rFonts w:ascii="Helvetica" w:hAnsi="Helvetica" w:cs="Helvetica"/>
            <w:b/>
            <w:bCs/>
            <w:sz w:val="20"/>
            <w:szCs w:val="20"/>
            <w:u w:val="none"/>
          </w:rPr>
          <w:t>la Charte</w:t>
        </w:r>
      </w:hyperlink>
      <w:r w:rsidR="00E345A0" w:rsidRPr="0039227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09553E6E" w14:textId="60E3F4AB" w:rsidR="00235B35" w:rsidRPr="001F56A9" w:rsidRDefault="00DC2E86" w:rsidP="00F3455F">
      <w:pPr>
        <w:shd w:val="clear" w:color="auto" w:fill="FFFFFF"/>
        <w:spacing w:after="309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1F56A9">
        <w:rPr>
          <w:rFonts w:ascii="Helvetica" w:hAnsi="Helvetica" w:cs="Helvetica"/>
          <w:color w:val="000000" w:themeColor="text1"/>
          <w:sz w:val="20"/>
          <w:szCs w:val="20"/>
        </w:rPr>
        <w:t>Concrètement, l</w:t>
      </w:r>
      <w:r w:rsidR="00235B35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’autorité de gestion veille à ce que des modalités efficaces soient </w:t>
      </w:r>
      <w:r w:rsidR="00013096" w:rsidRPr="001F56A9">
        <w:rPr>
          <w:rFonts w:ascii="Helvetica" w:hAnsi="Helvetica" w:cs="Helvetica"/>
          <w:color w:val="000000" w:themeColor="text1"/>
          <w:sz w:val="20"/>
          <w:szCs w:val="20"/>
        </w:rPr>
        <w:t>mise</w:t>
      </w:r>
      <w:r w:rsidR="003742B4" w:rsidRPr="001F56A9">
        <w:rPr>
          <w:rFonts w:ascii="Helvetica" w:hAnsi="Helvetica" w:cs="Helvetica"/>
          <w:color w:val="000000" w:themeColor="text1"/>
          <w:sz w:val="20"/>
          <w:szCs w:val="20"/>
        </w:rPr>
        <w:t>s</w:t>
      </w:r>
      <w:r w:rsidR="00013096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235B35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en place </w:t>
      </w:r>
      <w:r w:rsidR="00013096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afin de </w:t>
      </w:r>
      <w:r w:rsidR="00235B35" w:rsidRPr="001F56A9">
        <w:rPr>
          <w:rFonts w:ascii="Helvetica" w:hAnsi="Helvetica" w:cs="Helvetica"/>
          <w:color w:val="000000" w:themeColor="text1"/>
          <w:sz w:val="20"/>
          <w:szCs w:val="20"/>
        </w:rPr>
        <w:t>garantir :</w:t>
      </w:r>
    </w:p>
    <w:p w14:paraId="15F22E07" w14:textId="1D81E568" w:rsidR="00235B35" w:rsidRPr="001F56A9" w:rsidRDefault="00235B35" w:rsidP="00F3455F">
      <w:pPr>
        <w:pStyle w:val="Paragraphedeliste"/>
        <w:numPr>
          <w:ilvl w:val="0"/>
          <w:numId w:val="6"/>
        </w:numPr>
        <w:shd w:val="clear" w:color="auto" w:fill="FFFFFF"/>
        <w:spacing w:after="309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1F56A9">
        <w:rPr>
          <w:rFonts w:ascii="Helvetica" w:hAnsi="Helvetica" w:cs="Helvetica"/>
          <w:color w:val="000000" w:themeColor="text1"/>
          <w:sz w:val="20"/>
          <w:szCs w:val="20"/>
        </w:rPr>
        <w:t>que les programmes soutenus par les fonds et leur mise en œuvre respectent les dispositions pertinentes de la Charte</w:t>
      </w:r>
      <w:r w:rsidR="003742B4" w:rsidRPr="001F56A9">
        <w:rPr>
          <w:rFonts w:ascii="Helvetica" w:hAnsi="Helvetica" w:cs="Helvetica"/>
          <w:color w:val="000000" w:themeColor="text1"/>
          <w:sz w:val="20"/>
          <w:szCs w:val="20"/>
        </w:rPr>
        <w:t>;</w:t>
      </w:r>
      <w:r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02A87766" w14:textId="7082EC80" w:rsidR="00235B35" w:rsidRPr="001F56A9" w:rsidRDefault="00DC2E86" w:rsidP="00F3455F">
      <w:pPr>
        <w:pStyle w:val="Paragraphedeliste"/>
        <w:numPr>
          <w:ilvl w:val="0"/>
          <w:numId w:val="6"/>
        </w:numPr>
        <w:shd w:val="clear" w:color="auto" w:fill="FFFFFF"/>
        <w:spacing w:after="309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1F56A9">
        <w:rPr>
          <w:rFonts w:ascii="Helvetica" w:hAnsi="Helvetica" w:cs="Helvetica"/>
          <w:color w:val="000000" w:themeColor="text1"/>
          <w:sz w:val="20"/>
          <w:szCs w:val="20"/>
        </w:rPr>
        <w:t>que</w:t>
      </w:r>
      <w:r w:rsidR="00235B35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7C433E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le </w:t>
      </w:r>
      <w:r w:rsidR="00235B35" w:rsidRPr="001F56A9">
        <w:rPr>
          <w:rFonts w:ascii="Helvetica" w:hAnsi="Helvetica" w:cs="Helvetica"/>
          <w:color w:val="000000" w:themeColor="text1"/>
          <w:sz w:val="20"/>
          <w:szCs w:val="20"/>
        </w:rPr>
        <w:t>comité de suivi</w:t>
      </w:r>
      <w:r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013096" w:rsidRPr="001F56A9">
        <w:rPr>
          <w:rFonts w:ascii="Helvetica" w:hAnsi="Helvetica" w:cs="Helvetica"/>
          <w:color w:val="000000" w:themeColor="text1"/>
          <w:sz w:val="20"/>
          <w:szCs w:val="20"/>
        </w:rPr>
        <w:t>soit</w:t>
      </w:r>
      <w:r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informé</w:t>
      </w:r>
      <w:r w:rsidR="00A63446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des</w:t>
      </w:r>
      <w:r w:rsidR="00235B35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cas de non-respect de la Charte dans des opérations soutenues par les fonds et les plaintes concernant la Charte présentées conformément aux modalités établies en vertu de l’article 69, paragraphe 7</w:t>
      </w:r>
      <w:r w:rsidR="007C433E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7C433E" w:rsidRPr="001F56A9">
        <w:rPr>
          <w:rFonts w:ascii="Helvetica" w:eastAsia="Times New Roman" w:hAnsi="Helvetica" w:cs="Helvetica"/>
          <w:color w:val="000000" w:themeColor="text1"/>
          <w:sz w:val="20"/>
          <w:szCs w:val="20"/>
        </w:rPr>
        <w:t>(UE) 2021/1060</w:t>
      </w:r>
      <w:r w:rsidRPr="001F56A9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35535EB1" w14:textId="74210BDF" w:rsidR="00235B35" w:rsidRPr="0039227C" w:rsidRDefault="0039227C" w:rsidP="0039227C">
      <w:pPr>
        <w:pStyle w:val="Paragraphedeliste"/>
        <w:numPr>
          <w:ilvl w:val="0"/>
          <w:numId w:val="15"/>
        </w:numPr>
        <w:shd w:val="clear" w:color="auto" w:fill="FFFFFF"/>
        <w:spacing w:after="309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</w:t>
      </w:r>
      <w:r w:rsidR="00235B35" w:rsidRPr="0039227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eiller</w:t>
      </w:r>
      <w:r w:rsidR="00235B35" w:rsidRPr="0039227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à l</w:t>
      </w:r>
      <w:r w:rsidR="00A63446" w:rsidRPr="0039227C">
        <w:rPr>
          <w:rFonts w:ascii="Helvetica" w:hAnsi="Helvetica" w:cs="Helvetica"/>
          <w:b/>
          <w:bCs/>
          <w:color w:val="000000"/>
          <w:sz w:val="20"/>
          <w:szCs w:val="20"/>
        </w:rPr>
        <w:t>’</w:t>
      </w:r>
      <w:r w:rsidR="00235B35" w:rsidRPr="0039227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application et la mise en œuvre de la </w:t>
      </w:r>
      <w:hyperlink r:id="rId9" w:history="1">
        <w:r w:rsidR="00235B35" w:rsidRPr="0039227C">
          <w:rPr>
            <w:rStyle w:val="Lienhypertexte"/>
            <w:rFonts w:ascii="Helvetica" w:hAnsi="Helvetica" w:cs="Helvetica"/>
            <w:b/>
            <w:bCs/>
            <w:sz w:val="20"/>
            <w:szCs w:val="20"/>
            <w:u w:val="none"/>
          </w:rPr>
          <w:t>CNUDPH</w:t>
        </w:r>
      </w:hyperlink>
    </w:p>
    <w:p w14:paraId="338F613B" w14:textId="6F986BB5" w:rsidR="00235B35" w:rsidRPr="002C7D34" w:rsidRDefault="00DC2E86" w:rsidP="00F3455F">
      <w:pPr>
        <w:shd w:val="clear" w:color="auto" w:fill="FFFFFF"/>
        <w:spacing w:after="309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2C7D34">
        <w:rPr>
          <w:rFonts w:ascii="Helvetica" w:hAnsi="Helvetica" w:cs="Helvetica"/>
          <w:color w:val="000000" w:themeColor="text1"/>
          <w:sz w:val="20"/>
          <w:szCs w:val="20"/>
        </w:rPr>
        <w:t>Concrètement, l</w:t>
      </w:r>
      <w:r w:rsidR="00235B35" w:rsidRPr="002C7D34">
        <w:rPr>
          <w:rFonts w:ascii="Helvetica" w:hAnsi="Helvetica" w:cs="Helvetica"/>
          <w:color w:val="000000" w:themeColor="text1"/>
          <w:sz w:val="20"/>
          <w:szCs w:val="20"/>
        </w:rPr>
        <w:t xml:space="preserve">’autorité de gestion veille à ce qu’il existe un cadre national </w:t>
      </w:r>
      <w:r w:rsidR="004445F7" w:rsidRPr="002C7D34">
        <w:rPr>
          <w:rFonts w:ascii="Helvetica" w:hAnsi="Helvetica" w:cs="Helvetica"/>
          <w:color w:val="000000" w:themeColor="text1"/>
          <w:sz w:val="20"/>
          <w:szCs w:val="20"/>
        </w:rPr>
        <w:t>mis</w:t>
      </w:r>
      <w:r w:rsidR="00235B35" w:rsidRPr="002C7D34">
        <w:rPr>
          <w:rFonts w:ascii="Helvetica" w:hAnsi="Helvetica" w:cs="Helvetica"/>
          <w:color w:val="000000" w:themeColor="text1"/>
          <w:sz w:val="20"/>
          <w:szCs w:val="20"/>
        </w:rPr>
        <w:t xml:space="preserve"> en place pour garantir la mise en œuvre de la CNUDPH et comprenant :</w:t>
      </w:r>
    </w:p>
    <w:p w14:paraId="31F03EAE" w14:textId="77777777" w:rsidR="005562D0" w:rsidRPr="0072727C" w:rsidRDefault="00235B35" w:rsidP="00F3455F">
      <w:pPr>
        <w:pStyle w:val="Paragraphedeliste"/>
        <w:numPr>
          <w:ilvl w:val="0"/>
          <w:numId w:val="6"/>
        </w:numPr>
        <w:shd w:val="clear" w:color="auto" w:fill="FFFFFF"/>
        <w:spacing w:after="309"/>
        <w:jc w:val="both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72727C">
        <w:rPr>
          <w:rFonts w:ascii="Helvetica" w:hAnsi="Helvetica" w:cs="Helvetica"/>
          <w:color w:val="000000" w:themeColor="text1"/>
          <w:sz w:val="20"/>
          <w:szCs w:val="20"/>
        </w:rPr>
        <w:t>des objectifs assortis de jalons mesurables, la collecte de données et des mécanismes de suivi;</w:t>
      </w:r>
    </w:p>
    <w:p w14:paraId="08D5222A" w14:textId="7AA3507D" w:rsidR="00235B35" w:rsidRPr="001F56A9" w:rsidRDefault="00235B35" w:rsidP="00F3455F">
      <w:pPr>
        <w:pStyle w:val="Paragraphedeliste"/>
        <w:numPr>
          <w:ilvl w:val="0"/>
          <w:numId w:val="6"/>
        </w:num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72727C">
        <w:rPr>
          <w:rFonts w:ascii="Helvetica" w:hAnsi="Helvetica" w:cs="Helvetica"/>
          <w:color w:val="000000" w:themeColor="text1"/>
          <w:sz w:val="20"/>
          <w:szCs w:val="20"/>
        </w:rPr>
        <w:t xml:space="preserve">des </w:t>
      </w:r>
      <w:r w:rsidRPr="001F56A9">
        <w:rPr>
          <w:rFonts w:ascii="Helvetica" w:hAnsi="Helvetica" w:cs="Helvetica"/>
          <w:color w:val="000000" w:themeColor="text1"/>
          <w:sz w:val="20"/>
          <w:szCs w:val="20"/>
        </w:rPr>
        <w:t>modalités visant à garantir que la politique, la législation et les normes en matière d’accessibilité sont dûment prises en compte dans la préparation et la mise en œuvre des programmes;</w:t>
      </w:r>
    </w:p>
    <w:p w14:paraId="6653D0EE" w14:textId="77777777" w:rsidR="00DC2E86" w:rsidRPr="001F56A9" w:rsidRDefault="00DC2E86" w:rsidP="00F3455F">
      <w:pPr>
        <w:pStyle w:val="Paragraphedeliste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72555426" w14:textId="25595794" w:rsidR="00235B35" w:rsidRPr="001F56A9" w:rsidRDefault="00235B35" w:rsidP="0072727C">
      <w:pPr>
        <w:pStyle w:val="Paragraphedeliste"/>
        <w:numPr>
          <w:ilvl w:val="0"/>
          <w:numId w:val="6"/>
        </w:num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1F56A9">
        <w:rPr>
          <w:rFonts w:ascii="Helvetica" w:hAnsi="Helvetica" w:cs="Helvetica"/>
          <w:color w:val="000000" w:themeColor="text1"/>
          <w:sz w:val="20"/>
          <w:szCs w:val="20"/>
        </w:rPr>
        <w:t>des modalités d’information du comité de suivi en ce qui concerne les cas de non-respect de la CNUDPH dans des opérations soutenues par les fonds et les plaintes concernant la CNUDPH présentées conformément aux modalités établies en vertu de l’article 69, paragraphe 7</w:t>
      </w:r>
      <w:r w:rsidR="003742B4" w:rsidRPr="001F56A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3742B4" w:rsidRPr="001F56A9">
        <w:rPr>
          <w:rFonts w:ascii="Helvetica" w:eastAsia="Times New Roman" w:hAnsi="Helvetica" w:cs="Helvetica"/>
          <w:color w:val="000000" w:themeColor="text1"/>
          <w:sz w:val="20"/>
          <w:szCs w:val="20"/>
        </w:rPr>
        <w:t>(UE) 2021/1060</w:t>
      </w:r>
      <w:r w:rsidRPr="001F56A9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7FCD16F6" w14:textId="77777777" w:rsidR="0072727C" w:rsidRPr="001F56A9" w:rsidRDefault="0072727C" w:rsidP="002C7D34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1D43DE7E" w14:textId="5553C901" w:rsidR="000C764E" w:rsidRPr="001F56A9" w:rsidRDefault="00235B35" w:rsidP="00F3455F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À cette fin, l'autorité de gestion est assistée par des organismes mandatés tels qu</w:t>
      </w:r>
      <w:r w:rsidR="003742B4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’</w:t>
      </w:r>
      <w:proofErr w:type="spellStart"/>
      <w:r w:rsidR="00A25666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Unia</w:t>
      </w:r>
      <w:proofErr w:type="spellEnd"/>
      <w:r w:rsidR="00A25666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0C764E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qui </w:t>
      </w:r>
      <w:r w:rsidR="001D5302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est</w:t>
      </w:r>
      <w:r w:rsidR="000C764E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représenté dans le Comité de Suivi du Programme FSE+ de la Région Bruxelles-Capitale</w:t>
      </w:r>
      <w:r w:rsidR="00DC2E86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ainsi que</w:t>
      </w:r>
      <w:r w:rsidR="000C764E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des experts externes comme</w:t>
      </w:r>
      <w:r w:rsidR="001D5302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l’Institut pour l'égalité des femmes et des hommes et</w:t>
      </w:r>
      <w:r w:rsidR="000C764E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l’agent de liaison belge pour l’Agence européenne des droits fondamentaux (FRA) et</w:t>
      </w:r>
      <w:r w:rsidR="003742B4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0C764E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d’EU focal point pour la Charte européenne des droits fondamentaux</w:t>
      </w:r>
      <w:r w:rsidR="001D5302" w:rsidRPr="001F56A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.</w:t>
      </w:r>
    </w:p>
    <w:p w14:paraId="3E809521" w14:textId="77777777" w:rsidR="00F15376" w:rsidRDefault="00F15376" w:rsidP="006764B6">
      <w:pPr>
        <w:pBdr>
          <w:bottom w:val="single" w:sz="6" w:space="1" w:color="auto"/>
        </w:pBdr>
        <w:shd w:val="clear" w:color="auto" w:fill="FFFFFF"/>
        <w:spacing w:after="144"/>
        <w:jc w:val="both"/>
        <w:outlineLvl w:val="1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452F760E" w14:textId="7BC7E3F1" w:rsidR="002C7D34" w:rsidRPr="006764B6" w:rsidRDefault="009F59C2" w:rsidP="006764B6">
      <w:pPr>
        <w:pBdr>
          <w:bottom w:val="single" w:sz="6" w:space="1" w:color="auto"/>
        </w:pBdr>
        <w:shd w:val="clear" w:color="auto" w:fill="FFFFFF"/>
        <w:spacing w:after="144"/>
        <w:jc w:val="both"/>
        <w:outlineLvl w:val="1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</w:pPr>
      <w:r w:rsidRPr="0072727C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Introduction d’</w:t>
      </w:r>
      <w:r w:rsidR="003A7680" w:rsidRPr="0072727C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une plainte</w:t>
      </w:r>
      <w:r w:rsidRPr="0072727C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 xml:space="preserve"> </w:t>
      </w:r>
    </w:p>
    <w:p w14:paraId="2D71D13E" w14:textId="1A3382D9" w:rsidR="003A7680" w:rsidRPr="0072727C" w:rsidRDefault="003A7680" w:rsidP="00F97C99">
      <w:pPr>
        <w:spacing w:before="1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  <w:t>Par qui ?</w:t>
      </w:r>
    </w:p>
    <w:p w14:paraId="24D08824" w14:textId="78524347" w:rsidR="003A7680" w:rsidRPr="0072727C" w:rsidRDefault="00DC2E86" w:rsidP="00F3455F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Toute personne physique ou morale a le droit d’introduire une plainte</w:t>
      </w:r>
      <w:r w:rsidR="003A7680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concernant</w:t>
      </w:r>
      <w:r w:rsidR="005A58B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3A7680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le non-respect de la Charte ou de </w:t>
      </w:r>
      <w:r w:rsidR="005A58B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</w:t>
      </w:r>
      <w:r w:rsidR="003A7680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a CNUDPH</w:t>
      </w:r>
      <w:r w:rsidR="00C841AF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dans le cadre de la Programmation FSE+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.</w:t>
      </w:r>
    </w:p>
    <w:p w14:paraId="43D33F63" w14:textId="69D3558B" w:rsidR="002C7D34" w:rsidRPr="006764B6" w:rsidRDefault="003A7680" w:rsidP="00F97C99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6764B6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eastAsia="fr-FR"/>
        </w:rPr>
        <w:lastRenderedPageBreak/>
        <w:t>Exemple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 : </w:t>
      </w:r>
      <w:r w:rsidR="00C841AF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Tout litige entre bénéficiaires potentiels et sélectionnés (opérateur) et tout litige avec des tiers (chercheur d’emploi) concernant la mise en œuvre du programme peut faire l’objet d’une plainte.</w:t>
      </w:r>
    </w:p>
    <w:p w14:paraId="6710C8DC" w14:textId="268B29E7" w:rsidR="003A7680" w:rsidRPr="0072727C" w:rsidRDefault="003A7680" w:rsidP="00F97C99">
      <w:pPr>
        <w:spacing w:before="1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  <w:t xml:space="preserve">Auprès de qui ? </w:t>
      </w:r>
    </w:p>
    <w:p w14:paraId="6D0739EA" w14:textId="5A85934C" w:rsidR="008673A6" w:rsidRPr="0072727C" w:rsidRDefault="00C841AF" w:rsidP="0072727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Le </w:t>
      </w:r>
      <w:r w:rsidRPr="0072727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fr-FR"/>
        </w:rPr>
        <w:t>Service d’inclusion des chercheurs d’emploi discriminés à l’embauche</w:t>
      </w:r>
      <w:r w:rsidR="0039227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fr-FR"/>
        </w:rPr>
        <w:t xml:space="preserve"> d’Actiris</w:t>
      </w:r>
      <w:r w:rsidR="006764B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fr-FR"/>
        </w:rPr>
        <w:t xml:space="preserve"> (</w:t>
      </w:r>
      <w:r w:rsidR="006764B6" w:rsidRPr="0072727C">
        <w:rPr>
          <w:rFonts w:ascii="Helvetica" w:hAnsi="Helvetica" w:cs="Helvetica"/>
          <w:color w:val="000000" w:themeColor="text1"/>
          <w:sz w:val="20"/>
          <w:szCs w:val="20"/>
        </w:rPr>
        <w:t xml:space="preserve">ci-après </w:t>
      </w:r>
      <w:r w:rsidR="0039227C">
        <w:rPr>
          <w:rFonts w:ascii="Helvetica" w:hAnsi="Helvetica" w:cs="Helvetica"/>
          <w:color w:val="000000" w:themeColor="text1"/>
          <w:sz w:val="20"/>
          <w:szCs w:val="20"/>
        </w:rPr>
        <w:t>dénommé Actiris</w:t>
      </w:r>
      <w:r w:rsidR="006764B6">
        <w:rPr>
          <w:rFonts w:ascii="Helvetica" w:hAnsi="Helvetica" w:cs="Helvetica"/>
          <w:color w:val="000000" w:themeColor="text1"/>
          <w:sz w:val="20"/>
          <w:szCs w:val="20"/>
        </w:rPr>
        <w:t>) est un service</w:t>
      </w:r>
      <w:r w:rsidRPr="0072727C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 auquel les 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plaintes relative</w:t>
      </w:r>
      <w:r w:rsidR="0072727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s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au non-respect de la Charte ou de la CNUDPH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peuvent être adressées. </w:t>
      </w:r>
      <w:r w:rsidR="00392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Actiris</w:t>
      </w:r>
      <w:r w:rsidR="006764B6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adopte une position de neutralité et de stricte impartialité et est tenu au secret professionnel.</w:t>
      </w:r>
    </w:p>
    <w:p w14:paraId="5029E949" w14:textId="5E051928" w:rsidR="0072727C" w:rsidRPr="002C7D34" w:rsidRDefault="0039227C" w:rsidP="0072727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u w:val="single"/>
          <w:lang w:eastAsia="fr-FR"/>
        </w:rPr>
        <w:t>Dans ce cadre, Actiris</w:t>
      </w:r>
      <w:r w:rsidR="006764B6">
        <w:rPr>
          <w:rFonts w:ascii="Helvetica" w:eastAsia="Times New Roman" w:hAnsi="Helvetica" w:cs="Helvetica"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72727C" w:rsidRPr="002C7D34">
        <w:rPr>
          <w:rFonts w:ascii="Helvetica" w:eastAsia="Times New Roman" w:hAnsi="Helvetica" w:cs="Helvetica"/>
          <w:color w:val="000000" w:themeColor="text1"/>
          <w:sz w:val="20"/>
          <w:szCs w:val="20"/>
          <w:u w:val="single"/>
          <w:lang w:eastAsia="fr-FR"/>
        </w:rPr>
        <w:t>peut être contacté via les canaux ci-dessous:</w:t>
      </w:r>
    </w:p>
    <w:p w14:paraId="283AAF82" w14:textId="737094B4" w:rsidR="008673A6" w:rsidRPr="0072727C" w:rsidRDefault="002C7D34" w:rsidP="0072727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N</w:t>
      </w:r>
      <w:r w:rsidR="00C769A8" w:rsidRPr="0072727C">
        <w:rPr>
          <w:rFonts w:ascii="Helvetica" w:hAnsi="Helvetica" w:cs="Helvetica"/>
          <w:b/>
          <w:bCs/>
          <w:sz w:val="20"/>
          <w:szCs w:val="20"/>
        </w:rPr>
        <w:t>uméro gratuit</w:t>
      </w:r>
      <w:r w:rsidR="00C769A8" w:rsidRPr="0072727C">
        <w:rPr>
          <w:rFonts w:ascii="Helvetica" w:hAnsi="Helvetica" w:cs="Helvetica"/>
          <w:sz w:val="20"/>
          <w:szCs w:val="20"/>
        </w:rPr>
        <w:t> : 0800 35 089 du lundi au vendredi de 9h à 16h30</w:t>
      </w:r>
    </w:p>
    <w:p w14:paraId="07D82FD7" w14:textId="0C21944F" w:rsidR="008673A6" w:rsidRDefault="002C7D34" w:rsidP="0072727C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</w:t>
      </w:r>
      <w:r w:rsidR="0072727C" w:rsidRPr="0072727C">
        <w:rPr>
          <w:rFonts w:ascii="Helvetica" w:hAnsi="Helvetica" w:cs="Helvetica"/>
          <w:b/>
          <w:bCs/>
          <w:sz w:val="20"/>
          <w:szCs w:val="20"/>
        </w:rPr>
        <w:t>dresse</w:t>
      </w:r>
      <w:r w:rsidR="008673A6" w:rsidRPr="0072727C">
        <w:rPr>
          <w:rFonts w:ascii="Helvetica" w:hAnsi="Helvetica" w:cs="Helvetica"/>
          <w:b/>
          <w:bCs/>
          <w:sz w:val="20"/>
          <w:szCs w:val="20"/>
        </w:rPr>
        <w:t xml:space="preserve"> mail</w:t>
      </w:r>
      <w:r w:rsidR="008673A6" w:rsidRPr="0072727C">
        <w:rPr>
          <w:rFonts w:ascii="Helvetica" w:hAnsi="Helvetica" w:cs="Helvetica"/>
          <w:sz w:val="20"/>
          <w:szCs w:val="20"/>
        </w:rPr>
        <w:t xml:space="preserve"> : </w:t>
      </w:r>
      <w:hyperlink r:id="rId10" w:history="1">
        <w:r w:rsidRPr="00A22D35">
          <w:rPr>
            <w:rStyle w:val="Lienhypertexte"/>
            <w:rFonts w:ascii="Helvetica" w:hAnsi="Helvetica" w:cs="Helvetica"/>
            <w:sz w:val="20"/>
            <w:szCs w:val="20"/>
          </w:rPr>
          <w:t>inclusion@actiris.be</w:t>
        </w:r>
      </w:hyperlink>
    </w:p>
    <w:p w14:paraId="10029798" w14:textId="50A67CE9" w:rsidR="006764B6" w:rsidRPr="007329E8" w:rsidRDefault="007329E8" w:rsidP="006764B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7329E8">
        <w:rPr>
          <w:rFonts w:ascii="Helvetica" w:hAnsi="Helvetica" w:cs="Helvetica"/>
          <w:b/>
          <w:bCs/>
          <w:sz w:val="20"/>
          <w:szCs w:val="20"/>
        </w:rPr>
        <w:t>Permanence quotidienne </w:t>
      </w:r>
      <w:r w:rsidRPr="007329E8">
        <w:rPr>
          <w:rFonts w:ascii="Helvetica" w:hAnsi="Helvetica" w:cs="Helvetica"/>
          <w:sz w:val="20"/>
          <w:szCs w:val="20"/>
        </w:rPr>
        <w:t>:</w:t>
      </w:r>
      <w:r w:rsidRPr="007329E8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7329E8">
        <w:rPr>
          <w:rFonts w:ascii="Helvetica" w:hAnsi="Helvetica" w:cs="Helvetica"/>
          <w:sz w:val="20"/>
          <w:szCs w:val="20"/>
        </w:rPr>
        <w:t>Avenue de l'Astronomie 14, 1210 Bruxelles</w:t>
      </w:r>
      <w:r w:rsidR="002C5954" w:rsidRPr="007329E8">
        <w:rPr>
          <w:rFonts w:ascii="Helvetica" w:hAnsi="Helvetica" w:cs="Helvetica"/>
          <w:sz w:val="20"/>
          <w:szCs w:val="20"/>
        </w:rPr>
        <w:t xml:space="preserve"> </w:t>
      </w:r>
      <w:r w:rsidRPr="007329E8">
        <w:rPr>
          <w:rFonts w:ascii="Helvetica" w:hAnsi="Helvetica" w:cs="Helvetica"/>
          <w:sz w:val="20"/>
          <w:szCs w:val="20"/>
        </w:rPr>
        <w:t>de</w:t>
      </w:r>
      <w:r w:rsidR="002C5954" w:rsidRPr="007329E8">
        <w:rPr>
          <w:rFonts w:ascii="Helvetica" w:hAnsi="Helvetica" w:cs="Helvetica"/>
          <w:sz w:val="20"/>
          <w:szCs w:val="20"/>
        </w:rPr>
        <w:t xml:space="preserve"> 9h30</w:t>
      </w:r>
      <w:r w:rsidRPr="007329E8">
        <w:rPr>
          <w:rFonts w:ascii="Helvetica" w:hAnsi="Helvetica" w:cs="Helvetica"/>
          <w:sz w:val="20"/>
          <w:szCs w:val="20"/>
        </w:rPr>
        <w:t xml:space="preserve"> à </w:t>
      </w:r>
      <w:r w:rsidR="002C5954" w:rsidRPr="007329E8">
        <w:rPr>
          <w:rFonts w:ascii="Helvetica" w:hAnsi="Helvetica" w:cs="Helvetica"/>
          <w:sz w:val="20"/>
          <w:szCs w:val="20"/>
        </w:rPr>
        <w:t>12h00</w:t>
      </w:r>
    </w:p>
    <w:p w14:paraId="10BB93DC" w14:textId="77777777" w:rsidR="002C5954" w:rsidRPr="006764B6" w:rsidRDefault="002C5954" w:rsidP="006764B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2D5D"/>
          <w:sz w:val="20"/>
          <w:szCs w:val="20"/>
        </w:rPr>
      </w:pPr>
    </w:p>
    <w:p w14:paraId="7FFD1133" w14:textId="02680A0B" w:rsidR="003A7680" w:rsidRPr="0072727C" w:rsidRDefault="003A7680" w:rsidP="00C769A8">
      <w:pPr>
        <w:spacing w:before="1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  <w:t>Procédure d’examen de la plainte</w:t>
      </w:r>
    </w:p>
    <w:p w14:paraId="79260AA7" w14:textId="759E0E36" w:rsidR="008673A6" w:rsidRPr="0072727C" w:rsidRDefault="008673A6" w:rsidP="0072727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Une plainte peut être introduite </w:t>
      </w:r>
      <w:r w:rsidR="006764B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par écrit 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auprès d</w:t>
      </w:r>
      <w:r w:rsidR="00392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’Actiris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en expliquant clairement le problème et les attentes/demandes. </w:t>
      </w:r>
    </w:p>
    <w:p w14:paraId="0F100123" w14:textId="2590C22D" w:rsidR="006D6ED9" w:rsidRDefault="008673A6" w:rsidP="0072727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bookmarkStart w:id="0" w:name="_Hlk147133074"/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Il est conseillé de documenter la demande en joignant au formulaire les documents utiles ou pièces justificatives permettant l’analyse du dossier. </w:t>
      </w:r>
      <w:r w:rsidR="006D6ED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Le service vérifie la recevabilité</w:t>
      </w:r>
      <w:r w:rsidR="00DB11D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6D6ED9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de la plainte sur base des critères suivants :</w:t>
      </w:r>
    </w:p>
    <w:p w14:paraId="0A759C9D" w14:textId="70C5E4BA" w:rsidR="006D6ED9" w:rsidRPr="00DB11DC" w:rsidRDefault="006D6ED9" w:rsidP="00E218E9">
      <w:pPr>
        <w:pStyle w:val="Paragraphedeliste"/>
        <w:numPr>
          <w:ilvl w:val="0"/>
          <w:numId w:val="14"/>
        </w:numPr>
        <w:spacing w:before="100"/>
        <w:jc w:val="both"/>
      </w:pPr>
      <w:r w:rsidRPr="00DB11DC">
        <w:rPr>
          <w:rFonts w:ascii="Helvetica" w:eastAsia="Times New Roman" w:hAnsi="Helvetica" w:cs="Helvetica"/>
          <w:color w:val="000000" w:themeColor="text1"/>
          <w:sz w:val="20"/>
          <w:szCs w:val="20"/>
        </w:rPr>
        <w:t>La plainte concerne-t-elle l</w:t>
      </w:r>
      <w:r w:rsidRPr="006D6ED9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 mise en œuvre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du</w:t>
      </w:r>
      <w:r w:rsidRPr="00DB11DC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Programme FSE+ 2021-2027 de la Région Bruxelles Capitale</w:t>
      </w:r>
      <w:r w:rsidR="00DB11DC" w:rsidRPr="00DB11DC">
        <w:rPr>
          <w:rFonts w:ascii="Helvetica" w:eastAsia="Times New Roman" w:hAnsi="Helvetica" w:cs="Helvetica"/>
          <w:color w:val="000000" w:themeColor="text1"/>
          <w:sz w:val="20"/>
          <w:szCs w:val="20"/>
        </w:rPr>
        <w:t> ?</w:t>
      </w:r>
    </w:p>
    <w:p w14:paraId="06965153" w14:textId="7939E534" w:rsidR="00DB11DC" w:rsidRPr="00DB11DC" w:rsidRDefault="00DB11DC" w:rsidP="0072727C">
      <w:pPr>
        <w:pStyle w:val="Paragraphedeliste"/>
        <w:numPr>
          <w:ilvl w:val="0"/>
          <w:numId w:val="14"/>
        </w:num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DB11DC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Le motif de la plainte est-il </w:t>
      </w:r>
      <w:r w:rsidR="006D6ED9" w:rsidRPr="00DB11DC">
        <w:rPr>
          <w:rFonts w:ascii="Helvetica" w:eastAsia="Times New Roman" w:hAnsi="Helvetica" w:cs="Helvetica"/>
          <w:color w:val="000000" w:themeColor="text1"/>
          <w:sz w:val="20"/>
          <w:szCs w:val="20"/>
        </w:rPr>
        <w:t>est couvert par la</w:t>
      </w:r>
      <w:r w:rsidRPr="00DB11DC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Charte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ou par la </w:t>
      </w:r>
      <w:r w:rsidRPr="00DB11DC">
        <w:rPr>
          <w:rFonts w:ascii="Helvetica" w:eastAsia="Times New Roman" w:hAnsi="Helvetica" w:cs="Helvetica"/>
          <w:color w:val="000000" w:themeColor="text1"/>
          <w:sz w:val="20"/>
          <w:szCs w:val="20"/>
        </w:rPr>
        <w:t>CNUDPH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 ?</w:t>
      </w:r>
    </w:p>
    <w:bookmarkEnd w:id="0"/>
    <w:p w14:paraId="41622411" w14:textId="77777777" w:rsidR="00F15376" w:rsidRDefault="00F15376" w:rsidP="0072727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</w:p>
    <w:p w14:paraId="7A86713D" w14:textId="3AEB1FDE" w:rsidR="008673A6" w:rsidRPr="0072727C" w:rsidRDefault="008673A6" w:rsidP="0072727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Dans les</w:t>
      </w:r>
      <w:r w:rsid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DB11DC" w:rsidRP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48</w:t>
      </w:r>
      <w:r w:rsidR="00F15376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DB11DC" w:rsidRP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h</w:t>
      </w:r>
      <w:r w:rsidR="00F15376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eures</w:t>
      </w:r>
      <w:r w:rsidR="00DB11DC" w:rsidRP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ouvrables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, un accusé de réception de la plainte sera envoyé afin de confirmer sa recevabilité.</w:t>
      </w:r>
    </w:p>
    <w:p w14:paraId="63D31658" w14:textId="6497479D" w:rsidR="0053583C" w:rsidRPr="0072727C" w:rsidRDefault="00DC2E86" w:rsidP="0072727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Conformément à l’article 69, paragraphe 7, du règlement (UE) 2021/1060, un examen efficace des plaintes concernant la Charte et la CNUDPH sera 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effectué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.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Les plaintes seront </w:t>
      </w:r>
      <w:r w:rsidR="00A32709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transmises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, le</w:t>
      </w:r>
      <w:r w:rsid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cas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72727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échéant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,</w:t>
      </w:r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vers les organismes compétents (</w:t>
      </w:r>
      <w:r w:rsidR="00AC790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service de médiation bruxellois</w:t>
      </w:r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, UNIA, </w:t>
      </w:r>
      <w:r w:rsidR="00CE54E8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</w:t>
      </w:r>
      <w:r w:rsidR="00CE54E8" w:rsidRP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'Institut pour l'Egalité des femmes et des hommes</w:t>
      </w:r>
      <w:r w:rsidR="00CE54E8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,</w:t>
      </w:r>
      <w:r w:rsidR="00CE54E8" w:rsidRP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DB11DC" w:rsidRP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l'Inspection Régionale de l'Emploi</w:t>
      </w:r>
      <w:r w:rsidR="00DB11D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, ,</w:t>
      </w:r>
      <w:r w:rsidR="00DB11D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etc.)</w:t>
      </w:r>
      <w:r w:rsidR="00AC790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. </w:t>
      </w:r>
      <w:r w:rsidR="0053583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</w:p>
    <w:p w14:paraId="0EA9FD56" w14:textId="0740A32C" w:rsidR="006764B6" w:rsidRPr="006764B6" w:rsidRDefault="0039227C" w:rsidP="00C769A8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Actiris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dispose d’un délai de </w:t>
      </w:r>
      <w:r w:rsidR="00F15376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30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jours </w:t>
      </w:r>
      <w:r w:rsidR="00F15376" w:rsidRPr="00F15376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à partir du moment où le service dispose de tous les éléments du dossier </w:t>
      </w:r>
      <w:r w:rsidR="008673A6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pour communiquer une réponse motivée.</w:t>
      </w:r>
    </w:p>
    <w:p w14:paraId="4806FC80" w14:textId="77777777" w:rsidR="001F56A9" w:rsidRDefault="001F56A9" w:rsidP="00C769A8">
      <w:pPr>
        <w:spacing w:before="1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</w:pPr>
    </w:p>
    <w:p w14:paraId="4CE6499A" w14:textId="4A94C2EE" w:rsidR="0053583C" w:rsidRPr="0072727C" w:rsidRDefault="0053583C" w:rsidP="00C769A8">
      <w:pPr>
        <w:spacing w:before="1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</w:pPr>
      <w:proofErr w:type="spellStart"/>
      <w:r w:rsidRPr="007272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  <w:t>Reporting</w:t>
      </w:r>
      <w:proofErr w:type="spellEnd"/>
      <w:r w:rsidRPr="0072727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fr-FR"/>
        </w:rPr>
        <w:t xml:space="preserve"> de la plainte auprès de tiers</w:t>
      </w:r>
    </w:p>
    <w:p w14:paraId="7A2F3BDF" w14:textId="2BDF126C" w:rsidR="00D0726B" w:rsidRPr="0072727C" w:rsidRDefault="00AC790C" w:rsidP="00F3455F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Suite à la plainte, </w:t>
      </w:r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l’autorité de gestion</w:t>
      </w:r>
      <w:r w:rsidR="0072727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du Programme FSE+ de la Région Bruxelles-Capitale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assurera</w:t>
      </w:r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un suivi </w:t>
      </w:r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en vue du </w:t>
      </w:r>
      <w:proofErr w:type="spellStart"/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reporting</w:t>
      </w:r>
      <w:proofErr w:type="spellEnd"/>
      <w:r w:rsidR="00D0726B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annuel au comité de suivi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du Programme FSE+</w:t>
      </w:r>
      <w:r w:rsidR="0072727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.</w:t>
      </w:r>
    </w:p>
    <w:p w14:paraId="43807F8D" w14:textId="77FC06C4" w:rsidR="00CC007A" w:rsidRPr="0072727C" w:rsidRDefault="00CC007A" w:rsidP="00F3455F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L’autorité de gestion est obligée d’informer le Comité de Suivi, au moins une fois par an,  des cas de non-conformité de la Charte et de la CNUDPH</w:t>
      </w:r>
      <w:r w:rsidR="00CE54E8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,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sur les actions prises pour </w:t>
      </w:r>
      <w:r w:rsidR="00CE54E8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les 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respecter</w:t>
      </w:r>
      <w:r w:rsidR="00AC790C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et la résolution des plaintes (par exemple : nombre de plaintes/non-conformité, droits affectés, état d’avancement de la procédure si l’autorité de gestion dispose de l’information, mesures correctrices à appliquer).</w:t>
      </w:r>
    </w:p>
    <w:p w14:paraId="071E32B2" w14:textId="45C678A3" w:rsidR="005A58BC" w:rsidRDefault="00D0726B" w:rsidP="00F3455F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L’autorité de gestion garantit la mise-en-œuvre des recommandations ou</w:t>
      </w:r>
      <w:r w:rsidR="00654829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leçons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 xml:space="preserve"> sorti</w:t>
      </w:r>
      <w:r w:rsidR="00654829"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e</w:t>
      </w:r>
      <w:r w:rsidRPr="0072727C"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  <w:t>s après le traitement des plaintes.</w:t>
      </w:r>
    </w:p>
    <w:p w14:paraId="6A0EE366" w14:textId="77777777" w:rsidR="0072727C" w:rsidRPr="0072727C" w:rsidRDefault="0072727C" w:rsidP="00F3455F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</w:p>
    <w:p w14:paraId="06FCD43A" w14:textId="2ECF06C6" w:rsidR="00F97C99" w:rsidRPr="0072727C" w:rsidRDefault="00F97C99" w:rsidP="00F97C99">
      <w:pPr>
        <w:rPr>
          <w:rFonts w:ascii="Helvetica" w:hAnsi="Helvetica" w:cs="Helvetica"/>
          <w:i/>
          <w:iCs/>
          <w:sz w:val="20"/>
          <w:szCs w:val="20"/>
        </w:rPr>
      </w:pPr>
      <w:r w:rsidRPr="0072727C">
        <w:rPr>
          <w:rFonts w:ascii="Helvetica" w:hAnsi="Helvetica" w:cs="Helvetica"/>
          <w:i/>
          <w:iCs/>
          <w:sz w:val="20"/>
          <w:szCs w:val="20"/>
        </w:rPr>
        <w:t>Les plaintes liées à la sélection d’un projet font l’objet d’un recours auprès du Conseil d’Etat, situé rue de la Science, 33, à 1040 Bruxelles, (</w:t>
      </w:r>
      <w:hyperlink r:id="rId11" w:history="1">
        <w:r w:rsidRPr="0072727C">
          <w:rPr>
            <w:rStyle w:val="Lienhypertexte"/>
            <w:rFonts w:ascii="Helvetica" w:hAnsi="Helvetica" w:cs="Helvetica"/>
            <w:i/>
            <w:iCs/>
            <w:sz w:val="20"/>
            <w:szCs w:val="20"/>
          </w:rPr>
          <w:t>http://www.raadvst-consetat.be/?lang=fr&amp;page=e-procedure</w:t>
        </w:r>
      </w:hyperlink>
      <w:r w:rsidRPr="0072727C">
        <w:rPr>
          <w:rFonts w:ascii="Helvetica" w:hAnsi="Helvetica" w:cs="Helvetica"/>
          <w:i/>
          <w:iCs/>
          <w:sz w:val="20"/>
          <w:szCs w:val="20"/>
        </w:rPr>
        <w:t>).</w:t>
      </w:r>
    </w:p>
    <w:p w14:paraId="589783A5" w14:textId="77777777" w:rsidR="0053583C" w:rsidRPr="0072727C" w:rsidRDefault="0053583C">
      <w:pPr>
        <w:spacing w:before="10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fr-FR"/>
        </w:rPr>
      </w:pPr>
    </w:p>
    <w:sectPr w:rsidR="0053583C" w:rsidRPr="0072727C" w:rsidSect="0017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56B"/>
    <w:multiLevelType w:val="multilevel"/>
    <w:tmpl w:val="0720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219F"/>
    <w:multiLevelType w:val="hybridMultilevel"/>
    <w:tmpl w:val="E0B8AB4C"/>
    <w:lvl w:ilvl="0" w:tplc="7F0A1D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172"/>
    <w:multiLevelType w:val="hybridMultilevel"/>
    <w:tmpl w:val="53C2BABC"/>
    <w:lvl w:ilvl="0" w:tplc="4DC26A0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BCB"/>
    <w:multiLevelType w:val="hybridMultilevel"/>
    <w:tmpl w:val="596636E4"/>
    <w:lvl w:ilvl="0" w:tplc="2768061C">
      <w:start w:val="1"/>
      <w:numFmt w:val="decimal"/>
      <w:lvlText w:val="%1."/>
      <w:lvlJc w:val="left"/>
      <w:pPr>
        <w:ind w:left="1440" w:hanging="360"/>
      </w:pPr>
    </w:lvl>
    <w:lvl w:ilvl="1" w:tplc="C742ABBA">
      <w:start w:val="1"/>
      <w:numFmt w:val="decimal"/>
      <w:lvlText w:val="%2."/>
      <w:lvlJc w:val="left"/>
      <w:pPr>
        <w:ind w:left="1440" w:hanging="360"/>
      </w:pPr>
    </w:lvl>
    <w:lvl w:ilvl="2" w:tplc="AA447608">
      <w:start w:val="1"/>
      <w:numFmt w:val="decimal"/>
      <w:lvlText w:val="%3."/>
      <w:lvlJc w:val="left"/>
      <w:pPr>
        <w:ind w:left="1440" w:hanging="360"/>
      </w:pPr>
    </w:lvl>
    <w:lvl w:ilvl="3" w:tplc="9904C89C">
      <w:start w:val="1"/>
      <w:numFmt w:val="decimal"/>
      <w:lvlText w:val="%4."/>
      <w:lvlJc w:val="left"/>
      <w:pPr>
        <w:ind w:left="1440" w:hanging="360"/>
      </w:pPr>
    </w:lvl>
    <w:lvl w:ilvl="4" w:tplc="9BEA0502">
      <w:start w:val="1"/>
      <w:numFmt w:val="decimal"/>
      <w:lvlText w:val="%5."/>
      <w:lvlJc w:val="left"/>
      <w:pPr>
        <w:ind w:left="1440" w:hanging="360"/>
      </w:pPr>
    </w:lvl>
    <w:lvl w:ilvl="5" w:tplc="61662032">
      <w:start w:val="1"/>
      <w:numFmt w:val="decimal"/>
      <w:lvlText w:val="%6."/>
      <w:lvlJc w:val="left"/>
      <w:pPr>
        <w:ind w:left="1440" w:hanging="360"/>
      </w:pPr>
    </w:lvl>
    <w:lvl w:ilvl="6" w:tplc="75860BCE">
      <w:start w:val="1"/>
      <w:numFmt w:val="decimal"/>
      <w:lvlText w:val="%7."/>
      <w:lvlJc w:val="left"/>
      <w:pPr>
        <w:ind w:left="1440" w:hanging="360"/>
      </w:pPr>
    </w:lvl>
    <w:lvl w:ilvl="7" w:tplc="1C6A9282">
      <w:start w:val="1"/>
      <w:numFmt w:val="decimal"/>
      <w:lvlText w:val="%8."/>
      <w:lvlJc w:val="left"/>
      <w:pPr>
        <w:ind w:left="1440" w:hanging="360"/>
      </w:pPr>
    </w:lvl>
    <w:lvl w:ilvl="8" w:tplc="27286C20">
      <w:start w:val="1"/>
      <w:numFmt w:val="decimal"/>
      <w:lvlText w:val="%9."/>
      <w:lvlJc w:val="left"/>
      <w:pPr>
        <w:ind w:left="1440" w:hanging="360"/>
      </w:pPr>
    </w:lvl>
  </w:abstractNum>
  <w:abstractNum w:abstractNumId="4" w15:restartNumberingAfterBreak="0">
    <w:nsid w:val="26C10612"/>
    <w:multiLevelType w:val="multilevel"/>
    <w:tmpl w:val="079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37713"/>
    <w:multiLevelType w:val="hybridMultilevel"/>
    <w:tmpl w:val="E01C1160"/>
    <w:lvl w:ilvl="0" w:tplc="DB829F7E">
      <w:start w:val="1"/>
      <w:numFmt w:val="decimal"/>
      <w:lvlText w:val="%1."/>
      <w:lvlJc w:val="left"/>
      <w:pPr>
        <w:ind w:left="1440" w:hanging="360"/>
      </w:pPr>
    </w:lvl>
    <w:lvl w:ilvl="1" w:tplc="44A877BC">
      <w:start w:val="1"/>
      <w:numFmt w:val="decimal"/>
      <w:lvlText w:val="%2."/>
      <w:lvlJc w:val="left"/>
      <w:pPr>
        <w:ind w:left="1440" w:hanging="360"/>
      </w:pPr>
    </w:lvl>
    <w:lvl w:ilvl="2" w:tplc="E74842FE">
      <w:start w:val="1"/>
      <w:numFmt w:val="decimal"/>
      <w:lvlText w:val="%3."/>
      <w:lvlJc w:val="left"/>
      <w:pPr>
        <w:ind w:left="1440" w:hanging="360"/>
      </w:pPr>
    </w:lvl>
    <w:lvl w:ilvl="3" w:tplc="98B4E030">
      <w:start w:val="1"/>
      <w:numFmt w:val="decimal"/>
      <w:lvlText w:val="%4."/>
      <w:lvlJc w:val="left"/>
      <w:pPr>
        <w:ind w:left="1440" w:hanging="360"/>
      </w:pPr>
    </w:lvl>
    <w:lvl w:ilvl="4" w:tplc="513619C8">
      <w:start w:val="1"/>
      <w:numFmt w:val="decimal"/>
      <w:lvlText w:val="%5."/>
      <w:lvlJc w:val="left"/>
      <w:pPr>
        <w:ind w:left="1440" w:hanging="360"/>
      </w:pPr>
    </w:lvl>
    <w:lvl w:ilvl="5" w:tplc="7C287508">
      <w:start w:val="1"/>
      <w:numFmt w:val="decimal"/>
      <w:lvlText w:val="%6."/>
      <w:lvlJc w:val="left"/>
      <w:pPr>
        <w:ind w:left="1440" w:hanging="360"/>
      </w:pPr>
    </w:lvl>
    <w:lvl w:ilvl="6" w:tplc="517C8782">
      <w:start w:val="1"/>
      <w:numFmt w:val="decimal"/>
      <w:lvlText w:val="%7."/>
      <w:lvlJc w:val="left"/>
      <w:pPr>
        <w:ind w:left="1440" w:hanging="360"/>
      </w:pPr>
    </w:lvl>
    <w:lvl w:ilvl="7" w:tplc="EDC67502">
      <w:start w:val="1"/>
      <w:numFmt w:val="decimal"/>
      <w:lvlText w:val="%8."/>
      <w:lvlJc w:val="left"/>
      <w:pPr>
        <w:ind w:left="1440" w:hanging="360"/>
      </w:pPr>
    </w:lvl>
    <w:lvl w:ilvl="8" w:tplc="70BAFB40">
      <w:start w:val="1"/>
      <w:numFmt w:val="decimal"/>
      <w:lvlText w:val="%9."/>
      <w:lvlJc w:val="left"/>
      <w:pPr>
        <w:ind w:left="1440" w:hanging="360"/>
      </w:pPr>
    </w:lvl>
  </w:abstractNum>
  <w:abstractNum w:abstractNumId="6" w15:restartNumberingAfterBreak="0">
    <w:nsid w:val="3D5E0471"/>
    <w:multiLevelType w:val="hybridMultilevel"/>
    <w:tmpl w:val="2B942D4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85C3D"/>
    <w:multiLevelType w:val="hybridMultilevel"/>
    <w:tmpl w:val="D8A6EA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819DF"/>
    <w:multiLevelType w:val="hybridMultilevel"/>
    <w:tmpl w:val="7DF82296"/>
    <w:lvl w:ilvl="0" w:tplc="555054E0">
      <w:start w:val="1"/>
      <w:numFmt w:val="decimal"/>
      <w:lvlText w:val="%1."/>
      <w:lvlJc w:val="left"/>
      <w:pPr>
        <w:ind w:left="1440" w:hanging="360"/>
      </w:pPr>
    </w:lvl>
    <w:lvl w:ilvl="1" w:tplc="A0DA3C9A">
      <w:start w:val="1"/>
      <w:numFmt w:val="decimal"/>
      <w:lvlText w:val="%2."/>
      <w:lvlJc w:val="left"/>
      <w:pPr>
        <w:ind w:left="1440" w:hanging="360"/>
      </w:pPr>
    </w:lvl>
    <w:lvl w:ilvl="2" w:tplc="4DD086FE">
      <w:start w:val="1"/>
      <w:numFmt w:val="decimal"/>
      <w:lvlText w:val="%3."/>
      <w:lvlJc w:val="left"/>
      <w:pPr>
        <w:ind w:left="1440" w:hanging="360"/>
      </w:pPr>
    </w:lvl>
    <w:lvl w:ilvl="3" w:tplc="5ADE7A36">
      <w:start w:val="1"/>
      <w:numFmt w:val="decimal"/>
      <w:lvlText w:val="%4."/>
      <w:lvlJc w:val="left"/>
      <w:pPr>
        <w:ind w:left="1440" w:hanging="360"/>
      </w:pPr>
    </w:lvl>
    <w:lvl w:ilvl="4" w:tplc="F8EAB478">
      <w:start w:val="1"/>
      <w:numFmt w:val="decimal"/>
      <w:lvlText w:val="%5."/>
      <w:lvlJc w:val="left"/>
      <w:pPr>
        <w:ind w:left="1440" w:hanging="360"/>
      </w:pPr>
    </w:lvl>
    <w:lvl w:ilvl="5" w:tplc="FF7CE1DE">
      <w:start w:val="1"/>
      <w:numFmt w:val="decimal"/>
      <w:lvlText w:val="%6."/>
      <w:lvlJc w:val="left"/>
      <w:pPr>
        <w:ind w:left="1440" w:hanging="360"/>
      </w:pPr>
    </w:lvl>
    <w:lvl w:ilvl="6" w:tplc="9C04F1B6">
      <w:start w:val="1"/>
      <w:numFmt w:val="decimal"/>
      <w:lvlText w:val="%7."/>
      <w:lvlJc w:val="left"/>
      <w:pPr>
        <w:ind w:left="1440" w:hanging="360"/>
      </w:pPr>
    </w:lvl>
    <w:lvl w:ilvl="7" w:tplc="58540822">
      <w:start w:val="1"/>
      <w:numFmt w:val="decimal"/>
      <w:lvlText w:val="%8."/>
      <w:lvlJc w:val="left"/>
      <w:pPr>
        <w:ind w:left="1440" w:hanging="360"/>
      </w:pPr>
    </w:lvl>
    <w:lvl w:ilvl="8" w:tplc="4CC8F5A2">
      <w:start w:val="1"/>
      <w:numFmt w:val="decimal"/>
      <w:lvlText w:val="%9."/>
      <w:lvlJc w:val="left"/>
      <w:pPr>
        <w:ind w:left="1440" w:hanging="360"/>
      </w:pPr>
    </w:lvl>
  </w:abstractNum>
  <w:abstractNum w:abstractNumId="9" w15:restartNumberingAfterBreak="0">
    <w:nsid w:val="5BDB3A8D"/>
    <w:multiLevelType w:val="hybridMultilevel"/>
    <w:tmpl w:val="FB326B22"/>
    <w:lvl w:ilvl="0" w:tplc="7A06C320">
      <w:start w:val="1"/>
      <w:numFmt w:val="decimal"/>
      <w:lvlText w:val="%1."/>
      <w:lvlJc w:val="left"/>
      <w:pPr>
        <w:ind w:left="720" w:hanging="360"/>
      </w:pPr>
    </w:lvl>
    <w:lvl w:ilvl="1" w:tplc="5CFED526">
      <w:start w:val="1"/>
      <w:numFmt w:val="decimal"/>
      <w:lvlText w:val="%2."/>
      <w:lvlJc w:val="left"/>
      <w:pPr>
        <w:ind w:left="720" w:hanging="360"/>
      </w:pPr>
    </w:lvl>
    <w:lvl w:ilvl="2" w:tplc="9412176A">
      <w:start w:val="1"/>
      <w:numFmt w:val="decimal"/>
      <w:lvlText w:val="%3."/>
      <w:lvlJc w:val="left"/>
      <w:pPr>
        <w:ind w:left="720" w:hanging="360"/>
      </w:pPr>
    </w:lvl>
    <w:lvl w:ilvl="3" w:tplc="930E1DF0">
      <w:start w:val="1"/>
      <w:numFmt w:val="decimal"/>
      <w:lvlText w:val="%4."/>
      <w:lvlJc w:val="left"/>
      <w:pPr>
        <w:ind w:left="720" w:hanging="360"/>
      </w:pPr>
    </w:lvl>
    <w:lvl w:ilvl="4" w:tplc="FB28C148">
      <w:start w:val="1"/>
      <w:numFmt w:val="decimal"/>
      <w:lvlText w:val="%5."/>
      <w:lvlJc w:val="left"/>
      <w:pPr>
        <w:ind w:left="720" w:hanging="360"/>
      </w:pPr>
    </w:lvl>
    <w:lvl w:ilvl="5" w:tplc="8564C7B4">
      <w:start w:val="1"/>
      <w:numFmt w:val="decimal"/>
      <w:lvlText w:val="%6."/>
      <w:lvlJc w:val="left"/>
      <w:pPr>
        <w:ind w:left="720" w:hanging="360"/>
      </w:pPr>
    </w:lvl>
    <w:lvl w:ilvl="6" w:tplc="DD188E78">
      <w:start w:val="1"/>
      <w:numFmt w:val="decimal"/>
      <w:lvlText w:val="%7."/>
      <w:lvlJc w:val="left"/>
      <w:pPr>
        <w:ind w:left="720" w:hanging="360"/>
      </w:pPr>
    </w:lvl>
    <w:lvl w:ilvl="7" w:tplc="0D4457F4">
      <w:start w:val="1"/>
      <w:numFmt w:val="decimal"/>
      <w:lvlText w:val="%8."/>
      <w:lvlJc w:val="left"/>
      <w:pPr>
        <w:ind w:left="720" w:hanging="360"/>
      </w:pPr>
    </w:lvl>
    <w:lvl w:ilvl="8" w:tplc="A3D25A3A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63EB758B"/>
    <w:multiLevelType w:val="hybridMultilevel"/>
    <w:tmpl w:val="55865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6DDF"/>
    <w:multiLevelType w:val="hybridMultilevel"/>
    <w:tmpl w:val="E746EE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5B248E"/>
    <w:multiLevelType w:val="multilevel"/>
    <w:tmpl w:val="40D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81520D"/>
    <w:multiLevelType w:val="hybridMultilevel"/>
    <w:tmpl w:val="F48650EA"/>
    <w:lvl w:ilvl="0" w:tplc="AAECD28E">
      <w:start w:val="1"/>
      <w:numFmt w:val="decimal"/>
      <w:lvlText w:val="%1."/>
      <w:lvlJc w:val="left"/>
      <w:pPr>
        <w:ind w:left="1440" w:hanging="360"/>
      </w:pPr>
    </w:lvl>
    <w:lvl w:ilvl="1" w:tplc="2DACAE24">
      <w:start w:val="1"/>
      <w:numFmt w:val="decimal"/>
      <w:lvlText w:val="%2."/>
      <w:lvlJc w:val="left"/>
      <w:pPr>
        <w:ind w:left="1440" w:hanging="360"/>
      </w:pPr>
    </w:lvl>
    <w:lvl w:ilvl="2" w:tplc="2F60E296">
      <w:start w:val="1"/>
      <w:numFmt w:val="decimal"/>
      <w:lvlText w:val="%3."/>
      <w:lvlJc w:val="left"/>
      <w:pPr>
        <w:ind w:left="1440" w:hanging="360"/>
      </w:pPr>
    </w:lvl>
    <w:lvl w:ilvl="3" w:tplc="422E2EEE">
      <w:start w:val="1"/>
      <w:numFmt w:val="decimal"/>
      <w:lvlText w:val="%4."/>
      <w:lvlJc w:val="left"/>
      <w:pPr>
        <w:ind w:left="1440" w:hanging="360"/>
      </w:pPr>
    </w:lvl>
    <w:lvl w:ilvl="4" w:tplc="BA40D6D8">
      <w:start w:val="1"/>
      <w:numFmt w:val="decimal"/>
      <w:lvlText w:val="%5."/>
      <w:lvlJc w:val="left"/>
      <w:pPr>
        <w:ind w:left="1440" w:hanging="360"/>
      </w:pPr>
    </w:lvl>
    <w:lvl w:ilvl="5" w:tplc="9BB04E1C">
      <w:start w:val="1"/>
      <w:numFmt w:val="decimal"/>
      <w:lvlText w:val="%6."/>
      <w:lvlJc w:val="left"/>
      <w:pPr>
        <w:ind w:left="1440" w:hanging="360"/>
      </w:pPr>
    </w:lvl>
    <w:lvl w:ilvl="6" w:tplc="FA761E5E">
      <w:start w:val="1"/>
      <w:numFmt w:val="decimal"/>
      <w:lvlText w:val="%7."/>
      <w:lvlJc w:val="left"/>
      <w:pPr>
        <w:ind w:left="1440" w:hanging="360"/>
      </w:pPr>
    </w:lvl>
    <w:lvl w:ilvl="7" w:tplc="72FCCBE4">
      <w:start w:val="1"/>
      <w:numFmt w:val="decimal"/>
      <w:lvlText w:val="%8."/>
      <w:lvlJc w:val="left"/>
      <w:pPr>
        <w:ind w:left="1440" w:hanging="360"/>
      </w:pPr>
    </w:lvl>
    <w:lvl w:ilvl="8" w:tplc="668ED412">
      <w:start w:val="1"/>
      <w:numFmt w:val="decimal"/>
      <w:lvlText w:val="%9."/>
      <w:lvlJc w:val="left"/>
      <w:pPr>
        <w:ind w:left="1440" w:hanging="360"/>
      </w:pPr>
    </w:lvl>
  </w:abstractNum>
  <w:abstractNum w:abstractNumId="14" w15:restartNumberingAfterBreak="0">
    <w:nsid w:val="76FE46A3"/>
    <w:multiLevelType w:val="hybridMultilevel"/>
    <w:tmpl w:val="521C8716"/>
    <w:lvl w:ilvl="0" w:tplc="CB8650FE">
      <w:start w:val="1"/>
      <w:numFmt w:val="decimal"/>
      <w:lvlText w:val="%1."/>
      <w:lvlJc w:val="left"/>
      <w:pPr>
        <w:ind w:left="1440" w:hanging="360"/>
      </w:pPr>
    </w:lvl>
    <w:lvl w:ilvl="1" w:tplc="963A9384">
      <w:start w:val="1"/>
      <w:numFmt w:val="decimal"/>
      <w:lvlText w:val="%2."/>
      <w:lvlJc w:val="left"/>
      <w:pPr>
        <w:ind w:left="1440" w:hanging="360"/>
      </w:pPr>
    </w:lvl>
    <w:lvl w:ilvl="2" w:tplc="B294521E">
      <w:start w:val="1"/>
      <w:numFmt w:val="decimal"/>
      <w:lvlText w:val="%3."/>
      <w:lvlJc w:val="left"/>
      <w:pPr>
        <w:ind w:left="1440" w:hanging="360"/>
      </w:pPr>
    </w:lvl>
    <w:lvl w:ilvl="3" w:tplc="BA8644A2">
      <w:start w:val="1"/>
      <w:numFmt w:val="decimal"/>
      <w:lvlText w:val="%4."/>
      <w:lvlJc w:val="left"/>
      <w:pPr>
        <w:ind w:left="1440" w:hanging="360"/>
      </w:pPr>
    </w:lvl>
    <w:lvl w:ilvl="4" w:tplc="510C8B16">
      <w:start w:val="1"/>
      <w:numFmt w:val="decimal"/>
      <w:lvlText w:val="%5."/>
      <w:lvlJc w:val="left"/>
      <w:pPr>
        <w:ind w:left="1440" w:hanging="360"/>
      </w:pPr>
    </w:lvl>
    <w:lvl w:ilvl="5" w:tplc="4280A36A">
      <w:start w:val="1"/>
      <w:numFmt w:val="decimal"/>
      <w:lvlText w:val="%6."/>
      <w:lvlJc w:val="left"/>
      <w:pPr>
        <w:ind w:left="1440" w:hanging="360"/>
      </w:pPr>
    </w:lvl>
    <w:lvl w:ilvl="6" w:tplc="9EC8D908">
      <w:start w:val="1"/>
      <w:numFmt w:val="decimal"/>
      <w:lvlText w:val="%7."/>
      <w:lvlJc w:val="left"/>
      <w:pPr>
        <w:ind w:left="1440" w:hanging="360"/>
      </w:pPr>
    </w:lvl>
    <w:lvl w:ilvl="7" w:tplc="B804E2A2">
      <w:start w:val="1"/>
      <w:numFmt w:val="decimal"/>
      <w:lvlText w:val="%8."/>
      <w:lvlJc w:val="left"/>
      <w:pPr>
        <w:ind w:left="1440" w:hanging="360"/>
      </w:pPr>
    </w:lvl>
    <w:lvl w:ilvl="8" w:tplc="DD2A1B6E">
      <w:start w:val="1"/>
      <w:numFmt w:val="decimal"/>
      <w:lvlText w:val="%9."/>
      <w:lvlJc w:val="left"/>
      <w:pPr>
        <w:ind w:left="1440" w:hanging="360"/>
      </w:pPr>
    </w:lvl>
  </w:abstractNum>
  <w:num w:numId="1" w16cid:durableId="256141024">
    <w:abstractNumId w:val="4"/>
  </w:num>
  <w:num w:numId="2" w16cid:durableId="1213730165">
    <w:abstractNumId w:val="12"/>
  </w:num>
  <w:num w:numId="3" w16cid:durableId="419562820">
    <w:abstractNumId w:val="0"/>
  </w:num>
  <w:num w:numId="4" w16cid:durableId="1957711245">
    <w:abstractNumId w:val="10"/>
  </w:num>
  <w:num w:numId="5" w16cid:durableId="971207770">
    <w:abstractNumId w:val="11"/>
  </w:num>
  <w:num w:numId="6" w16cid:durableId="1255893520">
    <w:abstractNumId w:val="7"/>
  </w:num>
  <w:num w:numId="7" w16cid:durableId="1658454878">
    <w:abstractNumId w:val="14"/>
  </w:num>
  <w:num w:numId="8" w16cid:durableId="118109038">
    <w:abstractNumId w:val="8"/>
  </w:num>
  <w:num w:numId="9" w16cid:durableId="1101223976">
    <w:abstractNumId w:val="5"/>
  </w:num>
  <w:num w:numId="10" w16cid:durableId="1456829861">
    <w:abstractNumId w:val="6"/>
  </w:num>
  <w:num w:numId="11" w16cid:durableId="1777939263">
    <w:abstractNumId w:val="9"/>
  </w:num>
  <w:num w:numId="12" w16cid:durableId="1254245655">
    <w:abstractNumId w:val="3"/>
  </w:num>
  <w:num w:numId="13" w16cid:durableId="472648861">
    <w:abstractNumId w:val="13"/>
  </w:num>
  <w:num w:numId="14" w16cid:durableId="577863106">
    <w:abstractNumId w:val="2"/>
  </w:num>
  <w:num w:numId="15" w16cid:durableId="90341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40"/>
    <w:rsid w:val="00003623"/>
    <w:rsid w:val="00013096"/>
    <w:rsid w:val="00020C19"/>
    <w:rsid w:val="00050B75"/>
    <w:rsid w:val="000829F1"/>
    <w:rsid w:val="00093356"/>
    <w:rsid w:val="000C764E"/>
    <w:rsid w:val="0010244E"/>
    <w:rsid w:val="00170594"/>
    <w:rsid w:val="001C3548"/>
    <w:rsid w:val="001D5302"/>
    <w:rsid w:val="001F56A9"/>
    <w:rsid w:val="0020270A"/>
    <w:rsid w:val="00235B35"/>
    <w:rsid w:val="002C5954"/>
    <w:rsid w:val="002C7D34"/>
    <w:rsid w:val="003049D0"/>
    <w:rsid w:val="00343B47"/>
    <w:rsid w:val="003742B4"/>
    <w:rsid w:val="00386764"/>
    <w:rsid w:val="0039227C"/>
    <w:rsid w:val="003A7680"/>
    <w:rsid w:val="004445F7"/>
    <w:rsid w:val="00484477"/>
    <w:rsid w:val="0048536E"/>
    <w:rsid w:val="00492688"/>
    <w:rsid w:val="004C5503"/>
    <w:rsid w:val="004C682A"/>
    <w:rsid w:val="0051468F"/>
    <w:rsid w:val="00526F93"/>
    <w:rsid w:val="0053583C"/>
    <w:rsid w:val="005562D0"/>
    <w:rsid w:val="005908F2"/>
    <w:rsid w:val="005A58BC"/>
    <w:rsid w:val="00654829"/>
    <w:rsid w:val="006764B6"/>
    <w:rsid w:val="006834BE"/>
    <w:rsid w:val="006B2477"/>
    <w:rsid w:val="006D6ED9"/>
    <w:rsid w:val="00701136"/>
    <w:rsid w:val="00717F90"/>
    <w:rsid w:val="0072727C"/>
    <w:rsid w:val="007329E8"/>
    <w:rsid w:val="00736A57"/>
    <w:rsid w:val="007B5830"/>
    <w:rsid w:val="007C433E"/>
    <w:rsid w:val="007D027D"/>
    <w:rsid w:val="007D6340"/>
    <w:rsid w:val="00826DB4"/>
    <w:rsid w:val="008673A6"/>
    <w:rsid w:val="008826DA"/>
    <w:rsid w:val="00896085"/>
    <w:rsid w:val="008A2525"/>
    <w:rsid w:val="009004D2"/>
    <w:rsid w:val="00976981"/>
    <w:rsid w:val="009F59C2"/>
    <w:rsid w:val="00A25666"/>
    <w:rsid w:val="00A32709"/>
    <w:rsid w:val="00A63446"/>
    <w:rsid w:val="00A96BE4"/>
    <w:rsid w:val="00AC790C"/>
    <w:rsid w:val="00B25D8E"/>
    <w:rsid w:val="00B31EEC"/>
    <w:rsid w:val="00B34735"/>
    <w:rsid w:val="00B54A5D"/>
    <w:rsid w:val="00BD0CB6"/>
    <w:rsid w:val="00BD6AA2"/>
    <w:rsid w:val="00C769A8"/>
    <w:rsid w:val="00C841AF"/>
    <w:rsid w:val="00C94D01"/>
    <w:rsid w:val="00C95180"/>
    <w:rsid w:val="00CC007A"/>
    <w:rsid w:val="00CD168E"/>
    <w:rsid w:val="00CD2478"/>
    <w:rsid w:val="00CE54E8"/>
    <w:rsid w:val="00D0726B"/>
    <w:rsid w:val="00D24AFE"/>
    <w:rsid w:val="00D56534"/>
    <w:rsid w:val="00D65200"/>
    <w:rsid w:val="00D75236"/>
    <w:rsid w:val="00DB11DC"/>
    <w:rsid w:val="00DC2E86"/>
    <w:rsid w:val="00E345A0"/>
    <w:rsid w:val="00E60E8B"/>
    <w:rsid w:val="00E70310"/>
    <w:rsid w:val="00E82DDC"/>
    <w:rsid w:val="00E91131"/>
    <w:rsid w:val="00F116A9"/>
    <w:rsid w:val="00F15376"/>
    <w:rsid w:val="00F3455F"/>
    <w:rsid w:val="00F518C6"/>
    <w:rsid w:val="00F57B9A"/>
    <w:rsid w:val="00F97C99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2E1D"/>
  <w15:chartTrackingRefBased/>
  <w15:docId w15:val="{A07193DB-984B-4833-B93A-D83BE8F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D6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D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63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D63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6340"/>
    <w:rPr>
      <w:b/>
      <w:bCs/>
    </w:rPr>
  </w:style>
  <w:style w:type="character" w:styleId="Lienhypertexte">
    <w:name w:val="Hyperlink"/>
    <w:basedOn w:val="Policepardfaut"/>
    <w:uiPriority w:val="99"/>
    <w:unhideWhenUsed/>
    <w:rsid w:val="007D63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D6340"/>
    <w:pPr>
      <w:spacing w:after="0" w:line="240" w:lineRule="auto"/>
      <w:ind w:left="720"/>
    </w:pPr>
    <w:rPr>
      <w:rFonts w:ascii="Calibri" w:eastAsia="Calibri" w:hAnsi="Calibri" w:cs="Calibri"/>
      <w:lang w:eastAsia="fr-FR"/>
    </w:rPr>
  </w:style>
  <w:style w:type="character" w:customStyle="1" w:styleId="ui-provider">
    <w:name w:val="ui-provider"/>
    <w:basedOn w:val="Policepardfaut"/>
    <w:rsid w:val="00E70310"/>
  </w:style>
  <w:style w:type="character" w:styleId="Mentionnonrsolue">
    <w:name w:val="Unresolved Mention"/>
    <w:basedOn w:val="Policepardfaut"/>
    <w:uiPriority w:val="99"/>
    <w:semiHidden/>
    <w:unhideWhenUsed/>
    <w:rsid w:val="00E345A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908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08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08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8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8F2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13096"/>
    <w:rPr>
      <w:color w:val="954F72" w:themeColor="followedHyperlink"/>
      <w:u w:val="single"/>
    </w:rPr>
  </w:style>
  <w:style w:type="character" w:customStyle="1" w:styleId="text-with-picto--call-us">
    <w:name w:val="text-with-picto--call-us"/>
    <w:basedOn w:val="Policepardfaut"/>
    <w:rsid w:val="00C769A8"/>
  </w:style>
  <w:style w:type="character" w:customStyle="1" w:styleId="text-with-picto--write-us">
    <w:name w:val="text-with-picto--write-us"/>
    <w:basedOn w:val="Policepardfaut"/>
    <w:rsid w:val="00C769A8"/>
  </w:style>
  <w:style w:type="character" w:customStyle="1" w:styleId="cf01">
    <w:name w:val="cf01"/>
    <w:basedOn w:val="Policepardfaut"/>
    <w:rsid w:val="00C769A8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Policepardfaut"/>
    <w:uiPriority w:val="99"/>
    <w:unhideWhenUsed/>
    <w:rsid w:val="00C95180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E91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charter/pdf/text_fr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advst-consetat.be/?lang=fr&amp;page=e-procedure" TargetMode="External"/><Relationship Id="rId5" Type="http://schemas.openxmlformats.org/officeDocument/2006/relationships/styles" Target="styles.xml"/><Relationship Id="rId10" Type="http://schemas.openxmlformats.org/officeDocument/2006/relationships/hyperlink" Target="mailto:inclusion@actiris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fr/instruments-mechanisms/instruments/convention-rights-persons-disabiliti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52CE083E1A240AF0C81CC2365DF4B" ma:contentTypeVersion="0" ma:contentTypeDescription="Een nieuw document maken." ma:contentTypeScope="" ma:versionID="fe2b767b49361ded5a5c70236b2cfb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89388-63FD-4245-BD68-F27DBB184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44CE1-7B43-4815-BACF-2AB194FDB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E8B64-DD94-4C76-92E3-E08695B61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HOEDAERT Laurens</dc:creator>
  <cp:keywords/>
  <dc:description/>
  <cp:lastModifiedBy>MIGNOLET Gilles</cp:lastModifiedBy>
  <cp:revision>2</cp:revision>
  <dcterms:created xsi:type="dcterms:W3CDTF">2024-02-07T14:39:00Z</dcterms:created>
  <dcterms:modified xsi:type="dcterms:W3CDTF">2024-02-07T14:39:00Z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0x01010040252CE083E1A240AF0C81CC2365DF4B</vt:lpwstr>
  </property>
</Properties>
</file>